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33BD" w14:textId="77777777" w:rsidR="00F93F87" w:rsidRPr="00F93F87" w:rsidRDefault="00F93F87" w:rsidP="00F93F87">
      <w:pPr>
        <w:spacing w:line="276" w:lineRule="auto"/>
        <w:jc w:val="both"/>
        <w:rPr>
          <w:rFonts w:ascii="Times" w:hAnsi="Times"/>
          <w:b/>
          <w:bCs/>
        </w:rPr>
      </w:pPr>
      <w:r w:rsidRPr="00F93F87">
        <w:rPr>
          <w:rFonts w:ascii="Times" w:hAnsi="Times"/>
          <w:b/>
          <w:bCs/>
        </w:rPr>
        <w:t>Esconderse detrás de las máquinas: Los agentes artificiales podrían ayudar a eludir el castigo</w:t>
      </w:r>
    </w:p>
    <w:p w14:paraId="6C4DB166" w14:textId="637866DE" w:rsidR="00F93F87" w:rsidRDefault="00F93F87" w:rsidP="00F93F87">
      <w:pPr>
        <w:spacing w:line="276" w:lineRule="auto"/>
        <w:jc w:val="both"/>
        <w:rPr>
          <w:rFonts w:ascii="Times" w:hAnsi="Times"/>
          <w:lang w:val="en-US"/>
        </w:rPr>
      </w:pPr>
      <w:r w:rsidRPr="00F93F87">
        <w:rPr>
          <w:rFonts w:ascii="Times" w:hAnsi="Times"/>
          <w:lang w:val="en-US"/>
        </w:rPr>
        <w:t xml:space="preserve">Till </w:t>
      </w:r>
      <w:proofErr w:type="spellStart"/>
      <w:r w:rsidRPr="00F93F87">
        <w:rPr>
          <w:rFonts w:ascii="Times" w:hAnsi="Times"/>
          <w:lang w:val="en-US"/>
        </w:rPr>
        <w:t>Feier</w:t>
      </w:r>
      <w:proofErr w:type="spellEnd"/>
      <w:r w:rsidRPr="00F93F87">
        <w:rPr>
          <w:rFonts w:ascii="Times" w:hAnsi="Times"/>
          <w:lang w:val="en-US"/>
        </w:rPr>
        <w:t xml:space="preserve">, Jan </w:t>
      </w:r>
      <w:proofErr w:type="spellStart"/>
      <w:r w:rsidRPr="00F93F87">
        <w:rPr>
          <w:rFonts w:ascii="Times" w:hAnsi="Times"/>
          <w:lang w:val="en-US"/>
        </w:rPr>
        <w:t>Gogoll</w:t>
      </w:r>
      <w:proofErr w:type="spellEnd"/>
      <w:r w:rsidRPr="00F93F87">
        <w:rPr>
          <w:rFonts w:ascii="Times" w:hAnsi="Times"/>
          <w:lang w:val="en-US"/>
        </w:rPr>
        <w:t xml:space="preserve"> y Matthias </w:t>
      </w:r>
      <w:proofErr w:type="spellStart"/>
      <w:r w:rsidRPr="00F93F87">
        <w:rPr>
          <w:rFonts w:ascii="Times" w:hAnsi="Times"/>
          <w:lang w:val="en-US"/>
        </w:rPr>
        <w:t>Uhl</w:t>
      </w:r>
      <w:proofErr w:type="spellEnd"/>
      <w:r w:rsidRPr="00F93F87">
        <w:rPr>
          <w:rFonts w:ascii="Times" w:hAnsi="Times"/>
          <w:lang w:val="en-US"/>
        </w:rPr>
        <w:t xml:space="preserve"> </w:t>
      </w:r>
    </w:p>
    <w:p w14:paraId="1D0F412C" w14:textId="24E409B1" w:rsidR="00F93F87" w:rsidRPr="00F93F87" w:rsidRDefault="00F93F87" w:rsidP="00F93F87">
      <w:pPr>
        <w:spacing w:line="276" w:lineRule="auto"/>
        <w:jc w:val="both"/>
        <w:rPr>
          <w:rFonts w:ascii="Times" w:hAnsi="Times"/>
          <w:lang w:val="en-US"/>
        </w:rPr>
      </w:pPr>
      <w:r>
        <w:rPr>
          <w:rFonts w:ascii="Times" w:hAnsi="Times"/>
          <w:lang w:val="en-US"/>
        </w:rPr>
        <w:t xml:space="preserve">4 de </w:t>
      </w:r>
      <w:proofErr w:type="spellStart"/>
      <w:r>
        <w:rPr>
          <w:rFonts w:ascii="Times" w:hAnsi="Times"/>
          <w:lang w:val="en-US"/>
        </w:rPr>
        <w:t>abril</w:t>
      </w:r>
      <w:proofErr w:type="spellEnd"/>
      <w:r>
        <w:rPr>
          <w:rFonts w:ascii="Times" w:hAnsi="Times"/>
          <w:lang w:val="en-US"/>
        </w:rPr>
        <w:t xml:space="preserve"> de 2022</w:t>
      </w:r>
    </w:p>
    <w:p w14:paraId="7B9B8ACA" w14:textId="77777777" w:rsidR="00F93F87" w:rsidRPr="00F93F87" w:rsidRDefault="00F93F87" w:rsidP="00F93F87">
      <w:pPr>
        <w:spacing w:line="276" w:lineRule="auto"/>
        <w:jc w:val="both"/>
        <w:rPr>
          <w:rFonts w:ascii="Times" w:hAnsi="Times"/>
          <w:lang w:val="en-US"/>
        </w:rPr>
      </w:pPr>
    </w:p>
    <w:p w14:paraId="19286796" w14:textId="77777777" w:rsidR="00F93F87" w:rsidRPr="00F93F87" w:rsidRDefault="00F93F87" w:rsidP="00F93F87">
      <w:pPr>
        <w:spacing w:line="276" w:lineRule="auto"/>
        <w:jc w:val="both"/>
        <w:rPr>
          <w:rFonts w:ascii="Times" w:hAnsi="Times"/>
          <w:b/>
          <w:bCs/>
        </w:rPr>
      </w:pPr>
      <w:r w:rsidRPr="00F93F87">
        <w:rPr>
          <w:rFonts w:ascii="Times" w:hAnsi="Times"/>
          <w:b/>
          <w:bCs/>
        </w:rPr>
        <w:t>Resumen:</w:t>
      </w:r>
    </w:p>
    <w:p w14:paraId="3E1AB73D" w14:textId="77777777" w:rsidR="00F93F87" w:rsidRPr="00F93F87" w:rsidRDefault="00F93F87" w:rsidP="00F93F87">
      <w:pPr>
        <w:spacing w:line="276" w:lineRule="auto"/>
        <w:jc w:val="both"/>
        <w:rPr>
          <w:rFonts w:ascii="Times" w:hAnsi="Times"/>
        </w:rPr>
      </w:pPr>
      <w:r w:rsidRPr="00F93F87">
        <w:rPr>
          <w:rFonts w:ascii="Times" w:hAnsi="Times"/>
        </w:rPr>
        <w:t>La transferencia de tareas con implicaciones a veces de gran alcance a sistemas autónomos plantea una serie de cuestiones éticas. Además de las cuestiones fundamentales sobre la agencia moral de estos sistemas, surgen cuestiones de comportamiento. Investigamos la cuestión empíricamente accesible de si la imposición de un daño por parte de un agente se juzga sistemáticamente de forma diferente cuando el agente es artificial y no humano. Los resultados de un experimento de laboratorio sugieren que los responsables de la toma de decisiones pueden evitar el castigo más fácilmente delegando en máquinas en lugar de delegar en otras personas. Nuestros resultados sugieren que la disponibilidad de agentes artificiales podría proporcionar mayores incentivos para que los responsables de la toma de decisiones deleguen decisiones delicadas.</w:t>
      </w:r>
    </w:p>
    <w:p w14:paraId="21F47F85" w14:textId="77777777" w:rsidR="00F93F87" w:rsidRPr="00F93F87" w:rsidRDefault="00F93F87" w:rsidP="00F93F87">
      <w:pPr>
        <w:spacing w:line="276" w:lineRule="auto"/>
        <w:jc w:val="both"/>
        <w:rPr>
          <w:rFonts w:ascii="Times" w:hAnsi="Times"/>
        </w:rPr>
      </w:pPr>
    </w:p>
    <w:p w14:paraId="7687B2F3" w14:textId="0DCB05B7" w:rsidR="00F93F87" w:rsidRPr="00F93F87" w:rsidRDefault="00F93F87" w:rsidP="00F93F87">
      <w:pPr>
        <w:spacing w:line="276" w:lineRule="auto"/>
        <w:jc w:val="both"/>
        <w:rPr>
          <w:rFonts w:ascii="Times" w:hAnsi="Times"/>
          <w:b/>
          <w:bCs/>
          <w:lang w:val="en-US"/>
        </w:rPr>
      </w:pPr>
      <w:proofErr w:type="spellStart"/>
      <w:r w:rsidRPr="00F93F87">
        <w:rPr>
          <w:rFonts w:ascii="Times" w:hAnsi="Times"/>
          <w:b/>
          <w:bCs/>
          <w:lang w:val="en-US"/>
        </w:rPr>
        <w:t>Referencia</w:t>
      </w:r>
      <w:proofErr w:type="spellEnd"/>
      <w:r w:rsidRPr="00F93F87">
        <w:rPr>
          <w:rFonts w:ascii="Times" w:hAnsi="Times"/>
          <w:b/>
          <w:bCs/>
          <w:lang w:val="en-US"/>
        </w:rPr>
        <w:t>:</w:t>
      </w:r>
    </w:p>
    <w:p w14:paraId="08F3CEDC" w14:textId="77777777" w:rsidR="00F93F87" w:rsidRPr="00F93F87" w:rsidRDefault="00F93F87" w:rsidP="00F93F87">
      <w:pPr>
        <w:spacing w:line="276" w:lineRule="auto"/>
        <w:jc w:val="both"/>
        <w:rPr>
          <w:rFonts w:ascii="Times" w:hAnsi="Times"/>
        </w:rPr>
      </w:pPr>
      <w:proofErr w:type="spellStart"/>
      <w:r w:rsidRPr="00F93F87">
        <w:rPr>
          <w:rFonts w:ascii="Times" w:hAnsi="Times"/>
          <w:lang w:val="en-US"/>
        </w:rPr>
        <w:t>Feier</w:t>
      </w:r>
      <w:proofErr w:type="spellEnd"/>
      <w:r w:rsidRPr="00F93F87">
        <w:rPr>
          <w:rFonts w:ascii="Times" w:hAnsi="Times"/>
          <w:lang w:val="en-US"/>
        </w:rPr>
        <w:t xml:space="preserve">, T., </w:t>
      </w:r>
      <w:proofErr w:type="spellStart"/>
      <w:r w:rsidRPr="00F93F87">
        <w:rPr>
          <w:rFonts w:ascii="Times" w:hAnsi="Times"/>
          <w:lang w:val="en-US"/>
        </w:rPr>
        <w:t>Gogoll</w:t>
      </w:r>
      <w:proofErr w:type="spellEnd"/>
      <w:r w:rsidRPr="00F93F87">
        <w:rPr>
          <w:rFonts w:ascii="Times" w:hAnsi="Times"/>
          <w:lang w:val="en-US"/>
        </w:rPr>
        <w:t xml:space="preserve">, J. &amp; </w:t>
      </w:r>
      <w:proofErr w:type="spellStart"/>
      <w:r w:rsidRPr="00F93F87">
        <w:rPr>
          <w:rFonts w:ascii="Times" w:hAnsi="Times"/>
          <w:lang w:val="en-US"/>
        </w:rPr>
        <w:t>Uhl</w:t>
      </w:r>
      <w:proofErr w:type="spellEnd"/>
      <w:r w:rsidRPr="00F93F87">
        <w:rPr>
          <w:rFonts w:ascii="Times" w:hAnsi="Times"/>
          <w:lang w:val="en-US"/>
        </w:rPr>
        <w:t xml:space="preserve">, M. Hiding Behind Machines: Artificial Agents May Help to Evade Punishment. </w:t>
      </w:r>
      <w:proofErr w:type="spellStart"/>
      <w:r w:rsidRPr="00BC1A9C">
        <w:rPr>
          <w:rFonts w:ascii="Times" w:hAnsi="Times"/>
          <w:i/>
          <w:iCs/>
        </w:rPr>
        <w:t>Sci</w:t>
      </w:r>
      <w:proofErr w:type="spellEnd"/>
      <w:r w:rsidRPr="00BC1A9C">
        <w:rPr>
          <w:rFonts w:ascii="Times" w:hAnsi="Times"/>
          <w:i/>
          <w:iCs/>
        </w:rPr>
        <w:t xml:space="preserve"> Eng </w:t>
      </w:r>
      <w:proofErr w:type="spellStart"/>
      <w:r w:rsidRPr="00BC1A9C">
        <w:rPr>
          <w:rFonts w:ascii="Times" w:hAnsi="Times"/>
          <w:i/>
          <w:iCs/>
        </w:rPr>
        <w:t>Ethics</w:t>
      </w:r>
      <w:proofErr w:type="spellEnd"/>
      <w:r w:rsidRPr="00F93F87">
        <w:rPr>
          <w:rFonts w:ascii="Times" w:hAnsi="Times"/>
        </w:rPr>
        <w:t xml:space="preserve"> 28, 19 (2022). https://doi.org/10.1007/s11948-022-00372-7</w:t>
      </w:r>
    </w:p>
    <w:p w14:paraId="40A6E8C0" w14:textId="77777777" w:rsidR="00F93F87" w:rsidRDefault="00F93F87" w:rsidP="00F93F87"/>
    <w:sectPr w:rsidR="00F93F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87"/>
    <w:rsid w:val="00BC1A9C"/>
    <w:rsid w:val="00F93F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F30AE43"/>
  <w15:chartTrackingRefBased/>
  <w15:docId w15:val="{FCE7E0B8-5DB8-024E-8C1B-702B1E78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2</cp:revision>
  <dcterms:created xsi:type="dcterms:W3CDTF">2022-07-12T14:45:00Z</dcterms:created>
  <dcterms:modified xsi:type="dcterms:W3CDTF">2022-07-12T14:53:00Z</dcterms:modified>
</cp:coreProperties>
</file>