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BC" w:rsidRPr="00CD50BC" w:rsidRDefault="00CD50BC" w:rsidP="00CD50BC">
      <w:pPr>
        <w:spacing w:line="240" w:lineRule="auto"/>
        <w:jc w:val="both"/>
        <w:rPr>
          <w:rFonts w:ascii="Times New Roman" w:hAnsi="Times New Roman" w:cs="Times New Roman"/>
          <w:b/>
          <w:color w:val="1C1D1E"/>
          <w:shd w:val="clear" w:color="auto" w:fill="FFFFFF"/>
        </w:rPr>
      </w:pPr>
      <w:r w:rsidRPr="00CD50BC">
        <w:rPr>
          <w:rFonts w:ascii="Times New Roman" w:hAnsi="Times New Roman" w:cs="Times New Roman"/>
          <w:b/>
          <w:color w:val="1C1D1E"/>
          <w:shd w:val="clear" w:color="auto" w:fill="FFFFFF"/>
        </w:rPr>
        <w:t>Cirugía cerebral experimental invasiva para la demencia: ¿cambios éticos en las prácticas de investigación clínica?</w:t>
      </w:r>
    </w:p>
    <w:p w:rsidR="00CD50BC" w:rsidRPr="00CD50BC" w:rsidRDefault="00CD50BC" w:rsidP="00CD50BC">
      <w:pPr>
        <w:spacing w:line="240" w:lineRule="auto"/>
        <w:jc w:val="both"/>
        <w:rPr>
          <w:rFonts w:ascii="Times New Roman" w:hAnsi="Times New Roman" w:cs="Times New Roman"/>
          <w:color w:val="1C1D1E"/>
          <w:shd w:val="clear" w:color="auto" w:fill="FFFFFF"/>
        </w:rPr>
      </w:pPr>
      <w:proofErr w:type="spellStart"/>
      <w:r w:rsidRPr="00CD50BC">
        <w:rPr>
          <w:rFonts w:ascii="Times New Roman" w:hAnsi="Times New Roman" w:cs="Times New Roman"/>
          <w:color w:val="1C1D1E"/>
          <w:shd w:val="clear" w:color="auto" w:fill="FFFFFF"/>
        </w:rPr>
        <w:t>Frederic</w:t>
      </w:r>
      <w:proofErr w:type="spellEnd"/>
      <w:r w:rsidRPr="00CD50BC">
        <w:rPr>
          <w:rFonts w:ascii="Times New Roman" w:hAnsi="Times New Roman" w:cs="Times New Roman"/>
          <w:color w:val="1C1D1E"/>
          <w:shd w:val="clear" w:color="auto" w:fill="FFFFFF"/>
        </w:rPr>
        <w:t xml:space="preserve"> Gilbert, John Noel M. </w:t>
      </w:r>
      <w:proofErr w:type="spellStart"/>
      <w:r w:rsidRPr="00CD50BC">
        <w:rPr>
          <w:rFonts w:ascii="Times New Roman" w:hAnsi="Times New Roman" w:cs="Times New Roman"/>
          <w:color w:val="1C1D1E"/>
          <w:shd w:val="clear" w:color="auto" w:fill="FFFFFF"/>
        </w:rPr>
        <w:t>Viaña</w:t>
      </w:r>
      <w:proofErr w:type="spellEnd"/>
      <w:r w:rsidRPr="00CD50BC">
        <w:rPr>
          <w:rFonts w:ascii="Times New Roman" w:hAnsi="Times New Roman" w:cs="Times New Roman"/>
          <w:color w:val="1C1D1E"/>
          <w:shd w:val="clear" w:color="auto" w:fill="FFFFFF"/>
        </w:rPr>
        <w:t xml:space="preserve">, Merlín </w:t>
      </w:r>
      <w:proofErr w:type="spellStart"/>
      <w:r w:rsidRPr="00CD50BC">
        <w:rPr>
          <w:rFonts w:ascii="Times New Roman" w:hAnsi="Times New Roman" w:cs="Times New Roman"/>
          <w:color w:val="1C1D1E"/>
          <w:shd w:val="clear" w:color="auto" w:fill="FFFFFF"/>
        </w:rPr>
        <w:t>Bittlinger</w:t>
      </w:r>
      <w:proofErr w:type="spellEnd"/>
      <w:r w:rsidRPr="00CD50BC">
        <w:rPr>
          <w:rFonts w:ascii="Times New Roman" w:hAnsi="Times New Roman" w:cs="Times New Roman"/>
          <w:color w:val="1C1D1E"/>
          <w:shd w:val="clear" w:color="auto" w:fill="FFFFFF"/>
        </w:rPr>
        <w:t xml:space="preserve">, </w:t>
      </w:r>
      <w:proofErr w:type="spellStart"/>
      <w:r w:rsidRPr="00CD50BC">
        <w:rPr>
          <w:rFonts w:ascii="Times New Roman" w:hAnsi="Times New Roman" w:cs="Times New Roman"/>
          <w:color w:val="1C1D1E"/>
          <w:shd w:val="clear" w:color="auto" w:fill="FFFFFF"/>
        </w:rPr>
        <w:t>Ian</w:t>
      </w:r>
      <w:proofErr w:type="spellEnd"/>
      <w:r w:rsidRPr="00CD50BC">
        <w:rPr>
          <w:rFonts w:ascii="Times New Roman" w:hAnsi="Times New Roman" w:cs="Times New Roman"/>
          <w:color w:val="1C1D1E"/>
          <w:shd w:val="clear" w:color="auto" w:fill="FFFFFF"/>
        </w:rPr>
        <w:t xml:space="preserve"> Stevens, Maree </w:t>
      </w:r>
      <w:proofErr w:type="spellStart"/>
      <w:r w:rsidRPr="00CD50BC">
        <w:rPr>
          <w:rFonts w:ascii="Times New Roman" w:hAnsi="Times New Roman" w:cs="Times New Roman"/>
          <w:color w:val="1C1D1E"/>
          <w:shd w:val="clear" w:color="auto" w:fill="FFFFFF"/>
        </w:rPr>
        <w:t>Farrow</w:t>
      </w:r>
      <w:proofErr w:type="spellEnd"/>
      <w:r w:rsidRPr="00CD50BC">
        <w:rPr>
          <w:rFonts w:ascii="Times New Roman" w:hAnsi="Times New Roman" w:cs="Times New Roman"/>
          <w:color w:val="1C1D1E"/>
          <w:shd w:val="clear" w:color="auto" w:fill="FFFFFF"/>
        </w:rPr>
        <w:t xml:space="preserve">, James </w:t>
      </w:r>
      <w:proofErr w:type="spellStart"/>
      <w:r w:rsidRPr="00CD50BC">
        <w:rPr>
          <w:rFonts w:ascii="Times New Roman" w:hAnsi="Times New Roman" w:cs="Times New Roman"/>
          <w:color w:val="1C1D1E"/>
          <w:shd w:val="clear" w:color="auto" w:fill="FFFFFF"/>
        </w:rPr>
        <w:t>Vickers</w:t>
      </w:r>
      <w:proofErr w:type="spellEnd"/>
      <w:r w:rsidRPr="00CD50BC">
        <w:rPr>
          <w:rFonts w:ascii="Times New Roman" w:hAnsi="Times New Roman" w:cs="Times New Roman"/>
          <w:color w:val="1C1D1E"/>
          <w:shd w:val="clear" w:color="auto" w:fill="FFFFFF"/>
        </w:rPr>
        <w:t xml:space="preserve">, Susan </w:t>
      </w:r>
      <w:proofErr w:type="spellStart"/>
      <w:r w:rsidRPr="00CD50BC">
        <w:rPr>
          <w:rFonts w:ascii="Times New Roman" w:hAnsi="Times New Roman" w:cs="Times New Roman"/>
          <w:color w:val="1C1D1E"/>
          <w:shd w:val="clear" w:color="auto" w:fill="FFFFFF"/>
        </w:rPr>
        <w:t>Dodds</w:t>
      </w:r>
      <w:proofErr w:type="spellEnd"/>
      <w:r w:rsidRPr="00CD50BC">
        <w:rPr>
          <w:rFonts w:ascii="Times New Roman" w:hAnsi="Times New Roman" w:cs="Times New Roman"/>
          <w:color w:val="1C1D1E"/>
          <w:shd w:val="clear" w:color="auto" w:fill="FFFFFF"/>
        </w:rPr>
        <w:t xml:space="preserve">, </w:t>
      </w:r>
      <w:proofErr w:type="spellStart"/>
      <w:r w:rsidRPr="00CD50BC">
        <w:rPr>
          <w:rFonts w:ascii="Times New Roman" w:hAnsi="Times New Roman" w:cs="Times New Roman"/>
          <w:color w:val="1C1D1E"/>
          <w:shd w:val="clear" w:color="auto" w:fill="FFFFFF"/>
        </w:rPr>
        <w:t>Judy</w:t>
      </w:r>
      <w:proofErr w:type="spellEnd"/>
      <w:r w:rsidRPr="00CD50BC">
        <w:rPr>
          <w:rFonts w:ascii="Times New Roman" w:hAnsi="Times New Roman" w:cs="Times New Roman"/>
          <w:color w:val="1C1D1E"/>
          <w:shd w:val="clear" w:color="auto" w:fill="FFFFFF"/>
        </w:rPr>
        <w:t xml:space="preserve"> Illes</w:t>
      </w:r>
    </w:p>
    <w:p w:rsidR="00CD50BC" w:rsidRPr="00CD50BC" w:rsidRDefault="00CD50BC" w:rsidP="00CD50BC">
      <w:pPr>
        <w:spacing w:line="240" w:lineRule="auto"/>
        <w:jc w:val="both"/>
        <w:rPr>
          <w:rFonts w:ascii="Times New Roman" w:hAnsi="Times New Roman" w:cs="Times New Roman"/>
          <w:color w:val="1C1D1E"/>
          <w:shd w:val="clear" w:color="auto" w:fill="FFFFFF"/>
        </w:rPr>
      </w:pPr>
      <w:r w:rsidRPr="00CD50BC">
        <w:rPr>
          <w:rFonts w:ascii="Times New Roman" w:hAnsi="Times New Roman" w:cs="Times New Roman"/>
          <w:color w:val="1C1D1E"/>
          <w:shd w:val="clear" w:color="auto" w:fill="FFFFFF"/>
        </w:rPr>
        <w:t>21 de octubre de 2021</w:t>
      </w:r>
    </w:p>
    <w:p w:rsidR="00CD50BC" w:rsidRPr="00CD50BC" w:rsidRDefault="00CD50BC" w:rsidP="00CD50BC">
      <w:pPr>
        <w:spacing w:line="240" w:lineRule="auto"/>
        <w:jc w:val="both"/>
        <w:rPr>
          <w:rFonts w:ascii="Times New Roman" w:hAnsi="Times New Roman" w:cs="Times New Roman"/>
          <w:color w:val="1C1D1E"/>
          <w:shd w:val="clear" w:color="auto" w:fill="FFFFFF"/>
        </w:rPr>
      </w:pPr>
    </w:p>
    <w:p w:rsidR="00CD50BC" w:rsidRPr="00CD50BC" w:rsidRDefault="00CD50BC" w:rsidP="00CD50BC">
      <w:pPr>
        <w:spacing w:line="240" w:lineRule="auto"/>
        <w:jc w:val="both"/>
        <w:rPr>
          <w:rFonts w:ascii="Times New Roman" w:hAnsi="Times New Roman" w:cs="Times New Roman"/>
          <w:b/>
          <w:color w:val="1C1D1E"/>
          <w:shd w:val="clear" w:color="auto" w:fill="FFFFFF"/>
        </w:rPr>
      </w:pPr>
      <w:proofErr w:type="spellStart"/>
      <w:r w:rsidRPr="00CD50BC">
        <w:rPr>
          <w:rFonts w:ascii="Times New Roman" w:hAnsi="Times New Roman" w:cs="Times New Roman"/>
          <w:b/>
          <w:color w:val="1C1D1E"/>
          <w:shd w:val="clear" w:color="auto" w:fill="FFFFFF"/>
        </w:rPr>
        <w:t>Abstract</w:t>
      </w:r>
      <w:proofErr w:type="spellEnd"/>
      <w:r w:rsidRPr="00CD50BC">
        <w:rPr>
          <w:rFonts w:ascii="Times New Roman" w:hAnsi="Times New Roman" w:cs="Times New Roman"/>
          <w:b/>
          <w:color w:val="1C1D1E"/>
          <w:shd w:val="clear" w:color="auto" w:fill="FFFFFF"/>
        </w:rPr>
        <w:t>:</w:t>
      </w:r>
    </w:p>
    <w:p w:rsidR="00571224" w:rsidRDefault="00CD50BC" w:rsidP="00CD50BC">
      <w:pPr>
        <w:spacing w:line="240" w:lineRule="auto"/>
        <w:jc w:val="both"/>
        <w:rPr>
          <w:rFonts w:ascii="Times New Roman" w:hAnsi="Times New Roman" w:cs="Times New Roman"/>
          <w:color w:val="1C1D1E"/>
          <w:shd w:val="clear" w:color="auto" w:fill="FFFFFF"/>
        </w:rPr>
      </w:pPr>
      <w:r w:rsidRPr="00CD50BC">
        <w:rPr>
          <w:rFonts w:ascii="Times New Roman" w:hAnsi="Times New Roman" w:cs="Times New Roman"/>
          <w:color w:val="1C1D1E"/>
          <w:shd w:val="clear" w:color="auto" w:fill="FFFFFF"/>
        </w:rPr>
        <w:t xml:space="preserve">La creciente prevalencia de la demencia en todo el mundo está impulsando la prueba de nuevos enfoques terapéuticos, como las tecnologías cerebrales invasivas, a pesar de la evidencia clínica limitada y el riesgo de un deterioro cognitivo acelerado. Nuestro manuscrito (a) revisa el </w:t>
      </w:r>
      <w:r w:rsidRPr="00CD50BC">
        <w:rPr>
          <w:rFonts w:ascii="Times New Roman" w:hAnsi="Times New Roman" w:cs="Times New Roman"/>
          <w:shd w:val="clear" w:color="auto" w:fill="FFFFFF"/>
        </w:rPr>
        <w:t>NIH </w:t>
      </w:r>
      <w:hyperlink r:id="rId4" w:history="1">
        <w:r w:rsidRPr="00CD50BC">
          <w:rPr>
            <w:rStyle w:val="Hipervnculo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Clinicaltrials.gov</w:t>
        </w:r>
      </w:hyperlink>
      <w:r>
        <w:rPr>
          <w:rFonts w:ascii="Times New Roman" w:hAnsi="Times New Roman" w:cs="Times New Roman"/>
        </w:rPr>
        <w:t xml:space="preserve"> </w:t>
      </w:r>
      <w:r w:rsidRPr="00CD50BC">
        <w:rPr>
          <w:rFonts w:ascii="Times New Roman" w:hAnsi="Times New Roman" w:cs="Times New Roman"/>
          <w:color w:val="1C1D1E"/>
          <w:shd w:val="clear" w:color="auto" w:fill="FFFFFF"/>
        </w:rPr>
        <w:t>base de datos para ensayos de estimulación cerebral profunda, implantación de células madre y terapia génica en personas con demencia; (b) discute cuestiones de beneficencia, no maleficencia y autonomía asociadas con estos juicios; y (c) propone nueve recomendaciones que se basan en elementos de la Declaración de Helsinki. Encontramos 49 ensayos pre</w:t>
      </w:r>
      <w:r>
        <w:rPr>
          <w:rFonts w:ascii="Times New Roman" w:hAnsi="Times New Roman" w:cs="Times New Roman"/>
          <w:color w:val="1C1D1E"/>
          <w:shd w:val="clear" w:color="auto" w:fill="FFFFFF"/>
        </w:rPr>
        <w:t>-</w:t>
      </w:r>
      <w:r w:rsidRPr="00CD50BC">
        <w:rPr>
          <w:rFonts w:ascii="Times New Roman" w:hAnsi="Times New Roman" w:cs="Times New Roman"/>
          <w:color w:val="1C1D1E"/>
          <w:shd w:val="clear" w:color="auto" w:fill="FFFFFF"/>
        </w:rPr>
        <w:t xml:space="preserve">registrados de alto riesgo de nueve países que planean o involucran a 11.801 personas con Alzheimer o demencia con cuerpos de </w:t>
      </w:r>
      <w:proofErr w:type="spellStart"/>
      <w:r w:rsidRPr="00CD50BC">
        <w:rPr>
          <w:rFonts w:ascii="Times New Roman" w:hAnsi="Times New Roman" w:cs="Times New Roman"/>
          <w:color w:val="1C1D1E"/>
          <w:shd w:val="clear" w:color="auto" w:fill="FFFFFF"/>
        </w:rPr>
        <w:t>Lewy</w:t>
      </w:r>
      <w:proofErr w:type="spellEnd"/>
      <w:r w:rsidRPr="00CD50BC">
        <w:rPr>
          <w:rFonts w:ascii="Times New Roman" w:hAnsi="Times New Roman" w:cs="Times New Roman"/>
          <w:color w:val="1C1D1E"/>
          <w:shd w:val="clear" w:color="auto" w:fill="FFFFFF"/>
        </w:rPr>
        <w:t xml:space="preserve"> o demencia secundaria a la enfermedad de Parkinson o Huntington. La mayoría de las personas con Alzheimer que participan en estos ensayos son de América del Norte y Asia oriental. Existe una heterogeneidad sustancial en los criterios de inscripción, incluso para los ensayos que reclutan solo a personas con enfermedad de Alzheimer. Aunque la mayoría de los ensayos inscriben a personas en etapas leves a moderadas de la enfermedad de Alzheimer, Los ensayos en China inscriben a personas que tienen Alzheimer grave. Nuestros hallazgos destacan una necesidad apremiante de revisar y perfeccionar los criterios de inscripción para los ensayos neuronales invasivos en personas con demencia, considerando los riesgos, los beneficios potenciales y la capacidad para el consentimiento informado. Como equipo multidisciplinario de Australia, EE. UU., Canadá y Alemania con experiencia en neurología, neurociencia y ética, examinamos cómo es esencial equilibrar los riesgos de la investigación neuronal invasiva en una población vulnerable con capacidad limitada para brindar consentimiento informado a ayudar a avanzar en el conjunto de conocimientos sobre una enfermedad con opciones terapéuticas limitadas. beneficios potenciales y capacidad para el consentimiento informado. Como equipo multidisciplinario de Australia, EE. UU., Canadá y Alemania con experiencia en neurología, neurociencia y ética, examinamos cómo es esencial equilibrar los riesgos de la investigación neuronal invasiva en una población vulnerable con capacidad limitada para brindar consentimiento informado a ayudar a avanzar en el conjunto de conocimientos sobre una enfermedad con opciones terapéuticas limitadas. beneficios potenciales y capacidad para el consentimiento informado. Como equipo multidisciplinario de Australia, EE. UU., Canadá y Alemania con experiencia en neurología, neurociencia y ética, examinamos cómo es esencial equilibrar los riesgos de la investigación neuronal invasiva en una población vulnerable con capacidad limitada para brindar consentimiento informado a ayudar a avanzar en el conjunto de conocimientos sobre una enfermedad con opciones terapéuticas limitadas.</w:t>
      </w:r>
    </w:p>
    <w:p w:rsidR="00CD50BC" w:rsidRPr="00CD50BC" w:rsidRDefault="00CD50BC" w:rsidP="00CD50BC">
      <w:pPr>
        <w:spacing w:line="240" w:lineRule="auto"/>
        <w:jc w:val="both"/>
        <w:rPr>
          <w:rFonts w:ascii="Times New Roman" w:hAnsi="Times New Roman" w:cs="Times New Roman"/>
          <w:color w:val="1C1D1E"/>
          <w:shd w:val="clear" w:color="auto" w:fill="FFFFFF"/>
        </w:rPr>
      </w:pPr>
      <w:bookmarkStart w:id="0" w:name="_GoBack"/>
      <w:bookmarkEnd w:id="0"/>
    </w:p>
    <w:p w:rsidR="00CD50BC" w:rsidRPr="00CD50BC" w:rsidRDefault="00CD50BC" w:rsidP="00CD50BC">
      <w:pPr>
        <w:spacing w:line="240" w:lineRule="auto"/>
        <w:jc w:val="both"/>
        <w:rPr>
          <w:rFonts w:ascii="Times New Roman" w:hAnsi="Times New Roman" w:cs="Times New Roman"/>
          <w:b/>
          <w:color w:val="1C1D1E"/>
          <w:shd w:val="clear" w:color="auto" w:fill="FFFFFF"/>
        </w:rPr>
      </w:pPr>
      <w:r w:rsidRPr="00CD50BC">
        <w:rPr>
          <w:rFonts w:ascii="Times New Roman" w:hAnsi="Times New Roman" w:cs="Times New Roman"/>
          <w:b/>
          <w:color w:val="1C1D1E"/>
          <w:shd w:val="clear" w:color="auto" w:fill="FFFFFF"/>
        </w:rPr>
        <w:t>Referencia:</w:t>
      </w:r>
    </w:p>
    <w:p w:rsidR="00CD50BC" w:rsidRPr="00CD50BC" w:rsidRDefault="00CD50BC" w:rsidP="00CD50BC">
      <w:pPr>
        <w:spacing w:line="240" w:lineRule="auto"/>
        <w:jc w:val="both"/>
        <w:rPr>
          <w:rFonts w:ascii="Times New Roman" w:hAnsi="Times New Roman" w:cs="Times New Roman"/>
          <w:color w:val="1C1D1E"/>
          <w:shd w:val="clear" w:color="auto" w:fill="FFFFFF"/>
        </w:rPr>
      </w:pPr>
      <w:r w:rsidRPr="00CD50BC">
        <w:rPr>
          <w:rStyle w:val="author"/>
          <w:rFonts w:ascii="Times New Roman" w:hAnsi="Times New Roman" w:cs="Times New Roman"/>
          <w:color w:val="1C1D1E"/>
          <w:shd w:val="clear" w:color="auto" w:fill="FFFFFF"/>
        </w:rPr>
        <w:t>Gilbert, F.</w:t>
      </w:r>
      <w:r w:rsidRPr="00CD50BC">
        <w:rPr>
          <w:rFonts w:ascii="Times New Roman" w:hAnsi="Times New Roman" w:cs="Times New Roman"/>
          <w:color w:val="1C1D1E"/>
          <w:shd w:val="clear" w:color="auto" w:fill="FFFFFF"/>
        </w:rPr>
        <w:t>, </w:t>
      </w:r>
      <w:proofErr w:type="spellStart"/>
      <w:r w:rsidRPr="00CD50BC">
        <w:rPr>
          <w:rStyle w:val="author"/>
          <w:rFonts w:ascii="Times New Roman" w:hAnsi="Times New Roman" w:cs="Times New Roman"/>
          <w:color w:val="1C1D1E"/>
          <w:shd w:val="clear" w:color="auto" w:fill="FFFFFF"/>
        </w:rPr>
        <w:t>Viaña</w:t>
      </w:r>
      <w:proofErr w:type="spellEnd"/>
      <w:r w:rsidRPr="00CD50BC">
        <w:rPr>
          <w:rStyle w:val="author"/>
          <w:rFonts w:ascii="Times New Roman" w:hAnsi="Times New Roman" w:cs="Times New Roman"/>
          <w:color w:val="1C1D1E"/>
          <w:shd w:val="clear" w:color="auto" w:fill="FFFFFF"/>
        </w:rPr>
        <w:t xml:space="preserve">, </w:t>
      </w:r>
      <w:proofErr w:type="gramStart"/>
      <w:r w:rsidRPr="00CD50BC">
        <w:rPr>
          <w:rStyle w:val="author"/>
          <w:rFonts w:ascii="Times New Roman" w:hAnsi="Times New Roman" w:cs="Times New Roman"/>
          <w:color w:val="1C1D1E"/>
          <w:shd w:val="clear" w:color="auto" w:fill="FFFFFF"/>
        </w:rPr>
        <w:t>JNM</w:t>
      </w:r>
      <w:r w:rsidRPr="00CD50BC">
        <w:rPr>
          <w:rFonts w:ascii="Times New Roman" w:hAnsi="Times New Roman" w:cs="Times New Roman"/>
          <w:color w:val="1C1D1E"/>
          <w:shd w:val="clear" w:color="auto" w:fill="FFFFFF"/>
        </w:rPr>
        <w:t> ,</w:t>
      </w:r>
      <w:proofErr w:type="gramEnd"/>
      <w:r w:rsidRPr="00CD50BC">
        <w:rPr>
          <w:rFonts w:ascii="Times New Roman" w:hAnsi="Times New Roman" w:cs="Times New Roman"/>
          <w:color w:val="1C1D1E"/>
          <w:shd w:val="clear" w:color="auto" w:fill="FFFFFF"/>
        </w:rPr>
        <w:t> </w:t>
      </w:r>
      <w:proofErr w:type="spellStart"/>
      <w:r w:rsidRPr="00CD50BC">
        <w:rPr>
          <w:rStyle w:val="author"/>
          <w:rFonts w:ascii="Times New Roman" w:hAnsi="Times New Roman" w:cs="Times New Roman"/>
          <w:color w:val="1C1D1E"/>
          <w:shd w:val="clear" w:color="auto" w:fill="FFFFFF"/>
        </w:rPr>
        <w:t>Bittlinger</w:t>
      </w:r>
      <w:proofErr w:type="spellEnd"/>
      <w:r w:rsidRPr="00CD50BC">
        <w:rPr>
          <w:rStyle w:val="author"/>
          <w:rFonts w:ascii="Times New Roman" w:hAnsi="Times New Roman" w:cs="Times New Roman"/>
          <w:color w:val="1C1D1E"/>
          <w:shd w:val="clear" w:color="auto" w:fill="FFFFFF"/>
        </w:rPr>
        <w:t>, M.</w:t>
      </w:r>
      <w:r w:rsidRPr="00CD50BC">
        <w:rPr>
          <w:rFonts w:ascii="Times New Roman" w:hAnsi="Times New Roman" w:cs="Times New Roman"/>
          <w:color w:val="1C1D1E"/>
          <w:shd w:val="clear" w:color="auto" w:fill="FFFFFF"/>
        </w:rPr>
        <w:t> , </w:t>
      </w:r>
      <w:r w:rsidRPr="00CD50BC">
        <w:rPr>
          <w:rStyle w:val="author"/>
          <w:rFonts w:ascii="Times New Roman" w:hAnsi="Times New Roman" w:cs="Times New Roman"/>
          <w:color w:val="1C1D1E"/>
          <w:shd w:val="clear" w:color="auto" w:fill="FFFFFF"/>
        </w:rPr>
        <w:t>Stevens, I.</w:t>
      </w:r>
      <w:r w:rsidRPr="00CD50BC">
        <w:rPr>
          <w:rFonts w:ascii="Times New Roman" w:hAnsi="Times New Roman" w:cs="Times New Roman"/>
          <w:color w:val="1C1D1E"/>
          <w:shd w:val="clear" w:color="auto" w:fill="FFFFFF"/>
        </w:rPr>
        <w:t> , </w:t>
      </w:r>
      <w:proofErr w:type="spellStart"/>
      <w:r w:rsidRPr="00CD50BC">
        <w:rPr>
          <w:rStyle w:val="author"/>
          <w:rFonts w:ascii="Times New Roman" w:hAnsi="Times New Roman" w:cs="Times New Roman"/>
          <w:color w:val="1C1D1E"/>
          <w:shd w:val="clear" w:color="auto" w:fill="FFFFFF"/>
        </w:rPr>
        <w:t>Farrow</w:t>
      </w:r>
      <w:proofErr w:type="spellEnd"/>
      <w:r w:rsidRPr="00CD50BC">
        <w:rPr>
          <w:rStyle w:val="author"/>
          <w:rFonts w:ascii="Times New Roman" w:hAnsi="Times New Roman" w:cs="Times New Roman"/>
          <w:color w:val="1C1D1E"/>
          <w:shd w:val="clear" w:color="auto" w:fill="FFFFFF"/>
        </w:rPr>
        <w:t>, M.</w:t>
      </w:r>
      <w:r w:rsidRPr="00CD50BC">
        <w:rPr>
          <w:rFonts w:ascii="Times New Roman" w:hAnsi="Times New Roman" w:cs="Times New Roman"/>
          <w:color w:val="1C1D1E"/>
          <w:shd w:val="clear" w:color="auto" w:fill="FFFFFF"/>
        </w:rPr>
        <w:t> , </w:t>
      </w:r>
      <w:proofErr w:type="spellStart"/>
      <w:r w:rsidRPr="00CD50BC">
        <w:rPr>
          <w:rStyle w:val="author"/>
          <w:rFonts w:ascii="Times New Roman" w:hAnsi="Times New Roman" w:cs="Times New Roman"/>
          <w:color w:val="1C1D1E"/>
          <w:shd w:val="clear" w:color="auto" w:fill="FFFFFF"/>
        </w:rPr>
        <w:t>Vickers</w:t>
      </w:r>
      <w:proofErr w:type="spellEnd"/>
      <w:r w:rsidRPr="00CD50BC">
        <w:rPr>
          <w:rStyle w:val="author"/>
          <w:rFonts w:ascii="Times New Roman" w:hAnsi="Times New Roman" w:cs="Times New Roman"/>
          <w:color w:val="1C1D1E"/>
          <w:shd w:val="clear" w:color="auto" w:fill="FFFFFF"/>
        </w:rPr>
        <w:t>, J.</w:t>
      </w:r>
      <w:r w:rsidRPr="00CD50BC">
        <w:rPr>
          <w:rFonts w:ascii="Times New Roman" w:hAnsi="Times New Roman" w:cs="Times New Roman"/>
          <w:color w:val="1C1D1E"/>
          <w:shd w:val="clear" w:color="auto" w:fill="FFFFFF"/>
        </w:rPr>
        <w:t> , </w:t>
      </w:r>
      <w:proofErr w:type="spellStart"/>
      <w:r w:rsidRPr="00CD50BC">
        <w:rPr>
          <w:rStyle w:val="author"/>
          <w:rFonts w:ascii="Times New Roman" w:hAnsi="Times New Roman" w:cs="Times New Roman"/>
          <w:color w:val="1C1D1E"/>
          <w:shd w:val="clear" w:color="auto" w:fill="FFFFFF"/>
        </w:rPr>
        <w:t>Dodds</w:t>
      </w:r>
      <w:proofErr w:type="spellEnd"/>
      <w:r w:rsidRPr="00CD50BC">
        <w:rPr>
          <w:rStyle w:val="author"/>
          <w:rFonts w:ascii="Times New Roman" w:hAnsi="Times New Roman" w:cs="Times New Roman"/>
          <w:color w:val="1C1D1E"/>
          <w:shd w:val="clear" w:color="auto" w:fill="FFFFFF"/>
        </w:rPr>
        <w:t>, S.</w:t>
      </w:r>
      <w:r w:rsidRPr="00CD50BC">
        <w:rPr>
          <w:rFonts w:ascii="Times New Roman" w:hAnsi="Times New Roman" w:cs="Times New Roman"/>
          <w:color w:val="1C1D1E"/>
          <w:shd w:val="clear" w:color="auto" w:fill="FFFFFF"/>
        </w:rPr>
        <w:t> e </w:t>
      </w:r>
      <w:r w:rsidRPr="00CD50BC">
        <w:rPr>
          <w:rStyle w:val="author"/>
          <w:rFonts w:ascii="Times New Roman" w:hAnsi="Times New Roman" w:cs="Times New Roman"/>
          <w:color w:val="1C1D1E"/>
          <w:shd w:val="clear" w:color="auto" w:fill="FFFFFF"/>
        </w:rPr>
        <w:t>Illes, J.</w:t>
      </w:r>
      <w:r w:rsidRPr="00CD50BC">
        <w:rPr>
          <w:rFonts w:ascii="Times New Roman" w:hAnsi="Times New Roman" w:cs="Times New Roman"/>
          <w:color w:val="1C1D1E"/>
          <w:shd w:val="clear" w:color="auto" w:fill="FFFFFF"/>
        </w:rPr>
        <w:t> ( </w:t>
      </w:r>
      <w:r w:rsidRPr="00CD50BC">
        <w:rPr>
          <w:rStyle w:val="pubyear"/>
          <w:rFonts w:ascii="Times New Roman" w:hAnsi="Times New Roman" w:cs="Times New Roman"/>
          <w:color w:val="1C1D1E"/>
          <w:shd w:val="clear" w:color="auto" w:fill="FFFFFF"/>
        </w:rPr>
        <w:t>2021</w:t>
      </w:r>
      <w:r w:rsidRPr="00CD50BC">
        <w:rPr>
          <w:rFonts w:ascii="Times New Roman" w:hAnsi="Times New Roman" w:cs="Times New Roman"/>
          <w:color w:val="1C1D1E"/>
          <w:shd w:val="clear" w:color="auto" w:fill="FFFFFF"/>
        </w:rPr>
        <w:t> ). </w:t>
      </w:r>
      <w:r w:rsidRPr="00CD50BC">
        <w:rPr>
          <w:rStyle w:val="articletitle"/>
          <w:rFonts w:ascii="Times New Roman" w:hAnsi="Times New Roman" w:cs="Times New Roman"/>
          <w:color w:val="1C1D1E"/>
          <w:shd w:val="clear" w:color="auto" w:fill="FFFFFF"/>
        </w:rPr>
        <w:t>Cirugía cerebral experimental invasiva para la demencia: ¿cambios éticos en las prácticas de investigación clínica? </w:t>
      </w:r>
      <w:r w:rsidRPr="00CD50BC">
        <w:rPr>
          <w:rFonts w:ascii="Times New Roman" w:hAnsi="Times New Roman" w:cs="Times New Roman"/>
          <w:i/>
          <w:iCs/>
          <w:color w:val="1C1D1E"/>
          <w:shd w:val="clear" w:color="auto" w:fill="FFFFFF"/>
        </w:rPr>
        <w:t>Bioética</w:t>
      </w:r>
      <w:r w:rsidRPr="00CD50BC">
        <w:rPr>
          <w:rFonts w:ascii="Times New Roman" w:hAnsi="Times New Roman" w:cs="Times New Roman"/>
          <w:color w:val="1C1D1E"/>
          <w:shd w:val="clear" w:color="auto" w:fill="FFFFFF"/>
        </w:rPr>
        <w:t>, </w:t>
      </w:r>
      <w:r w:rsidRPr="00CD50BC">
        <w:rPr>
          <w:rStyle w:val="pagefirst"/>
          <w:rFonts w:ascii="Times New Roman" w:hAnsi="Times New Roman" w:cs="Times New Roman"/>
          <w:color w:val="1C1D1E"/>
          <w:shd w:val="clear" w:color="auto" w:fill="FFFFFF"/>
        </w:rPr>
        <w:t>1</w:t>
      </w:r>
      <w:r w:rsidRPr="00CD50BC">
        <w:rPr>
          <w:rFonts w:ascii="Times New Roman" w:hAnsi="Times New Roman" w:cs="Times New Roman"/>
          <w:color w:val="1C1D1E"/>
          <w:shd w:val="clear" w:color="auto" w:fill="FFFFFF"/>
        </w:rPr>
        <w:t> - </w:t>
      </w:r>
      <w:r w:rsidRPr="00CD50BC">
        <w:rPr>
          <w:rStyle w:val="pagelast"/>
          <w:rFonts w:ascii="Times New Roman" w:hAnsi="Times New Roman" w:cs="Times New Roman"/>
          <w:color w:val="1C1D1E"/>
          <w:shd w:val="clear" w:color="auto" w:fill="FFFFFF"/>
        </w:rPr>
        <w:t>17</w:t>
      </w:r>
      <w:r w:rsidRPr="00CD50BC">
        <w:rPr>
          <w:rFonts w:ascii="Times New Roman" w:hAnsi="Times New Roman" w:cs="Times New Roman"/>
          <w:color w:val="1C1D1E"/>
          <w:shd w:val="clear" w:color="auto" w:fill="FFFFFF"/>
        </w:rPr>
        <w:t>. </w:t>
      </w:r>
      <w:hyperlink r:id="rId5" w:history="1">
        <w:r w:rsidRPr="00CD50BC">
          <w:rPr>
            <w:rStyle w:val="Hipervnculo"/>
            <w:rFonts w:ascii="Times New Roman" w:hAnsi="Times New Roman" w:cs="Times New Roman"/>
            <w:color w:val="005274"/>
            <w:shd w:val="clear" w:color="auto" w:fill="FFFFFF"/>
          </w:rPr>
          <w:t>https://doi.org/10.1111/bioe.12961</w:t>
        </w:r>
      </w:hyperlink>
    </w:p>
    <w:p w:rsidR="00CD50BC" w:rsidRPr="00CD50BC" w:rsidRDefault="00CD50BC" w:rsidP="00CD50BC">
      <w:pPr>
        <w:spacing w:line="240" w:lineRule="auto"/>
        <w:jc w:val="both"/>
        <w:rPr>
          <w:rFonts w:ascii="Times New Roman" w:hAnsi="Times New Roman" w:cs="Times New Roman"/>
        </w:rPr>
      </w:pPr>
    </w:p>
    <w:sectPr w:rsidR="00CD50BC" w:rsidRPr="00CD50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BC"/>
    <w:rsid w:val="004C1B77"/>
    <w:rsid w:val="00B00947"/>
    <w:rsid w:val="00C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145F"/>
  <w15:chartTrackingRefBased/>
  <w15:docId w15:val="{E9AAF168-290F-41D4-9BA2-14614910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D50BC"/>
    <w:rPr>
      <w:color w:val="0000FF"/>
      <w:u w:val="single"/>
    </w:rPr>
  </w:style>
  <w:style w:type="character" w:customStyle="1" w:styleId="author">
    <w:name w:val="author"/>
    <w:basedOn w:val="Fuentedeprrafopredeter"/>
    <w:rsid w:val="00CD50BC"/>
  </w:style>
  <w:style w:type="character" w:customStyle="1" w:styleId="pubyear">
    <w:name w:val="pubyear"/>
    <w:basedOn w:val="Fuentedeprrafopredeter"/>
    <w:rsid w:val="00CD50BC"/>
  </w:style>
  <w:style w:type="character" w:customStyle="1" w:styleId="articletitle">
    <w:name w:val="articletitle"/>
    <w:basedOn w:val="Fuentedeprrafopredeter"/>
    <w:rsid w:val="00CD50BC"/>
  </w:style>
  <w:style w:type="character" w:customStyle="1" w:styleId="pagefirst">
    <w:name w:val="pagefirst"/>
    <w:basedOn w:val="Fuentedeprrafopredeter"/>
    <w:rsid w:val="00CD50BC"/>
  </w:style>
  <w:style w:type="character" w:customStyle="1" w:styleId="pagelast">
    <w:name w:val="pagelast"/>
    <w:basedOn w:val="Fuentedeprrafopredeter"/>
    <w:rsid w:val="00CD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30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111/bioe.12961" TargetMode="External"/><Relationship Id="rId4" Type="http://schemas.openxmlformats.org/officeDocument/2006/relationships/hyperlink" Target="http://clinicaltrials.gov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Quiñones</dc:creator>
  <cp:keywords/>
  <dc:description/>
  <cp:lastModifiedBy>Elizabeth Quiñones</cp:lastModifiedBy>
  <cp:revision>1</cp:revision>
  <dcterms:created xsi:type="dcterms:W3CDTF">2021-10-30T23:36:00Z</dcterms:created>
  <dcterms:modified xsi:type="dcterms:W3CDTF">2021-10-30T23:45:00Z</dcterms:modified>
</cp:coreProperties>
</file>