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55B7" w14:textId="7FEA6E52" w:rsidR="00ED6F82" w:rsidRPr="00E32414" w:rsidRDefault="00ED6F82" w:rsidP="00ED6F82">
      <w:pPr>
        <w:shd w:val="clear" w:color="auto" w:fill="FFFFFF"/>
        <w:spacing w:after="0" w:line="276" w:lineRule="auto"/>
        <w:jc w:val="both"/>
        <w:outlineLvl w:val="1"/>
        <w:rPr>
          <w:rFonts w:ascii="Arial" w:eastAsia="Times New Roman" w:hAnsi="Arial" w:cs="Arial"/>
          <w:b/>
          <w:bCs/>
          <w:color w:val="0A0A0A"/>
          <w:sz w:val="24"/>
          <w:szCs w:val="24"/>
          <w:lang w:eastAsia="es-ES"/>
        </w:rPr>
      </w:pPr>
      <w:r w:rsidRPr="00E32414">
        <w:rPr>
          <w:rFonts w:ascii="Arial" w:eastAsia="Times New Roman" w:hAnsi="Arial" w:cs="Arial"/>
          <w:b/>
          <w:bCs/>
          <w:color w:val="0A0A0A"/>
          <w:sz w:val="24"/>
          <w:szCs w:val="24"/>
          <w:lang w:eastAsia="es-ES"/>
        </w:rPr>
        <w:t>¿Debo hacer lo que me dicen? Confianza, expertos y COVID-19</w:t>
      </w:r>
    </w:p>
    <w:p w14:paraId="5F973DAB" w14:textId="2A78F66A" w:rsidR="00ED6F82" w:rsidRPr="00E32414" w:rsidRDefault="00ED6F82" w:rsidP="00ED6F82">
      <w:pPr>
        <w:shd w:val="clear" w:color="auto" w:fill="FFFFFF"/>
        <w:spacing w:after="0" w:line="276" w:lineRule="auto"/>
        <w:jc w:val="both"/>
        <w:outlineLvl w:val="1"/>
        <w:rPr>
          <w:rFonts w:ascii="Arial" w:eastAsia="Times New Roman" w:hAnsi="Arial" w:cs="Arial"/>
          <w:color w:val="0A0A0A"/>
          <w:sz w:val="24"/>
          <w:szCs w:val="24"/>
          <w:lang w:eastAsia="es-ES"/>
        </w:rPr>
      </w:pPr>
      <w:r w:rsidRPr="00E32414">
        <w:rPr>
          <w:rFonts w:ascii="Arial" w:eastAsia="Times New Roman" w:hAnsi="Arial" w:cs="Arial"/>
          <w:color w:val="0A0A0A"/>
          <w:sz w:val="24"/>
          <w:szCs w:val="24"/>
          <w:lang w:eastAsia="es-ES"/>
        </w:rPr>
        <w:t>Matthew Bennett</w:t>
      </w:r>
    </w:p>
    <w:p w14:paraId="7D920CA2" w14:textId="3F9997CE" w:rsidR="00ED6F82" w:rsidRPr="00E32414" w:rsidRDefault="00ED6F82" w:rsidP="00ED6F82">
      <w:pPr>
        <w:shd w:val="clear" w:color="auto" w:fill="FFFFFF"/>
        <w:spacing w:after="0" w:line="276" w:lineRule="auto"/>
        <w:jc w:val="both"/>
        <w:outlineLvl w:val="1"/>
        <w:rPr>
          <w:rFonts w:ascii="Arial" w:eastAsia="Times New Roman" w:hAnsi="Arial" w:cs="Arial"/>
          <w:color w:val="0A0A0A"/>
          <w:sz w:val="24"/>
          <w:szCs w:val="24"/>
          <w:lang w:eastAsia="es-ES"/>
        </w:rPr>
      </w:pPr>
      <w:r w:rsidRPr="00E32414">
        <w:rPr>
          <w:rFonts w:ascii="Arial" w:eastAsia="Times New Roman" w:hAnsi="Arial" w:cs="Arial"/>
          <w:color w:val="0A0A0A"/>
          <w:sz w:val="24"/>
          <w:szCs w:val="24"/>
          <w:lang w:eastAsia="es-ES"/>
        </w:rPr>
        <w:t>14 de noviembre de 2020</w:t>
      </w:r>
    </w:p>
    <w:p w14:paraId="0261922E" w14:textId="7431A81A" w:rsidR="00ED6F82" w:rsidRPr="00E32414" w:rsidRDefault="00ED6F82" w:rsidP="00ED6F82">
      <w:pPr>
        <w:shd w:val="clear" w:color="auto" w:fill="FFFFFF"/>
        <w:spacing w:after="0" w:line="276" w:lineRule="auto"/>
        <w:jc w:val="both"/>
        <w:outlineLvl w:val="1"/>
        <w:rPr>
          <w:rFonts w:ascii="Arial" w:eastAsia="Times New Roman" w:hAnsi="Arial" w:cs="Arial"/>
          <w:b/>
          <w:bCs/>
          <w:color w:val="0A0A0A"/>
          <w:sz w:val="24"/>
          <w:szCs w:val="24"/>
          <w:lang w:eastAsia="es-ES"/>
        </w:rPr>
      </w:pPr>
    </w:p>
    <w:p w14:paraId="5DB9E7A3" w14:textId="3FF85160" w:rsidR="00ED6F82" w:rsidRPr="00E32414" w:rsidRDefault="00ED6F82" w:rsidP="00ED6F82">
      <w:pPr>
        <w:shd w:val="clear" w:color="auto" w:fill="FFFFFF"/>
        <w:spacing w:after="0" w:line="276" w:lineRule="auto"/>
        <w:jc w:val="both"/>
        <w:outlineLvl w:val="1"/>
        <w:rPr>
          <w:rFonts w:ascii="Arial" w:eastAsia="Times New Roman" w:hAnsi="Arial" w:cs="Arial"/>
          <w:b/>
          <w:bCs/>
          <w:color w:val="0A0A0A"/>
          <w:sz w:val="24"/>
          <w:szCs w:val="24"/>
          <w:lang w:eastAsia="es-ES"/>
        </w:rPr>
      </w:pPr>
      <w:proofErr w:type="spellStart"/>
      <w:r w:rsidRPr="00E32414">
        <w:rPr>
          <w:rFonts w:ascii="Arial" w:eastAsia="Times New Roman" w:hAnsi="Arial" w:cs="Arial"/>
          <w:b/>
          <w:bCs/>
          <w:color w:val="0A0A0A"/>
          <w:sz w:val="24"/>
          <w:szCs w:val="24"/>
          <w:lang w:eastAsia="es-ES"/>
        </w:rPr>
        <w:t>Abstract</w:t>
      </w:r>
      <w:proofErr w:type="spellEnd"/>
      <w:r w:rsidRPr="00E32414">
        <w:rPr>
          <w:rFonts w:ascii="Arial" w:eastAsia="Times New Roman" w:hAnsi="Arial" w:cs="Arial"/>
          <w:b/>
          <w:bCs/>
          <w:color w:val="0A0A0A"/>
          <w:sz w:val="24"/>
          <w:szCs w:val="24"/>
          <w:lang w:eastAsia="es-ES"/>
        </w:rPr>
        <w:t>:</w:t>
      </w:r>
    </w:p>
    <w:p w14:paraId="1B506323" w14:textId="34569EB3" w:rsidR="00ED6F82" w:rsidRPr="00E32414" w:rsidRDefault="00ED6F82" w:rsidP="00ED6F82">
      <w:pPr>
        <w:spacing w:after="0" w:line="276" w:lineRule="auto"/>
        <w:jc w:val="both"/>
        <w:rPr>
          <w:rFonts w:ascii="Arial" w:hAnsi="Arial" w:cs="Arial"/>
          <w:color w:val="222222"/>
          <w:sz w:val="24"/>
          <w:szCs w:val="24"/>
          <w:shd w:val="clear" w:color="auto" w:fill="FFFFFF"/>
        </w:rPr>
      </w:pPr>
      <w:r w:rsidRPr="00E32414">
        <w:rPr>
          <w:rFonts w:ascii="Arial" w:hAnsi="Arial" w:cs="Arial"/>
          <w:color w:val="222222"/>
          <w:sz w:val="24"/>
          <w:szCs w:val="24"/>
          <w:shd w:val="clear" w:color="auto" w:fill="FFFFFF"/>
        </w:rPr>
        <w:t>El éxito de las respuestas de salud pública a la pandemia de COVID-19 depende de la confianza del público en los expertos. A pesar de que se presta mucha atención a las actitudes hacia los expertos en el contexto de tales crisis, una característica importante de la confianza pública sigue sin ser examinada. Cuando las políticas públicas afirman seguir la ciencia, se les pide a los ciudadanos no solo que crean lo que les dicen los expertos, sino que sigan las recomendaciones de los expertos. Sostengo que esto requiere una forma de confianza más exigente, a la que llamo confianza de recomendación. Defiendo tres afirmaciones sobre la confianza en las recomendaciones: la confianza en las recomendaciones es diferente de la confianza tanto epistémica como práctica; las condiciones para una confianza adecuada en las recomendaciones son más exigentes que las condiciones para una confianza epistémica adecuada.</w:t>
      </w:r>
    </w:p>
    <w:p w14:paraId="7A131629" w14:textId="49461AA1" w:rsidR="00ED6F82" w:rsidRPr="00E32414" w:rsidRDefault="00ED6F82" w:rsidP="00ED6F82">
      <w:pPr>
        <w:spacing w:after="0" w:line="276" w:lineRule="auto"/>
        <w:jc w:val="both"/>
        <w:rPr>
          <w:rFonts w:ascii="Arial" w:hAnsi="Arial" w:cs="Arial"/>
          <w:color w:val="222222"/>
          <w:sz w:val="24"/>
          <w:szCs w:val="24"/>
          <w:shd w:val="clear" w:color="auto" w:fill="FFFFFF"/>
        </w:rPr>
      </w:pPr>
    </w:p>
    <w:p w14:paraId="21787685" w14:textId="279B68EF" w:rsidR="00ED6F82" w:rsidRPr="00E32414" w:rsidRDefault="00ED6F82" w:rsidP="00ED6F82">
      <w:pPr>
        <w:spacing w:after="0" w:line="276" w:lineRule="auto"/>
        <w:jc w:val="both"/>
        <w:rPr>
          <w:rFonts w:ascii="Arial" w:hAnsi="Arial" w:cs="Arial"/>
          <w:color w:val="222222"/>
          <w:sz w:val="24"/>
          <w:szCs w:val="24"/>
          <w:shd w:val="clear" w:color="auto" w:fill="FFFFFF"/>
        </w:rPr>
      </w:pPr>
      <w:r w:rsidRPr="00E32414">
        <w:rPr>
          <w:rFonts w:ascii="Arial" w:hAnsi="Arial" w:cs="Arial"/>
          <w:color w:val="222222"/>
          <w:sz w:val="24"/>
          <w:szCs w:val="24"/>
          <w:shd w:val="clear" w:color="auto" w:fill="FFFFFF"/>
        </w:rPr>
        <w:t>Referencia:</w:t>
      </w:r>
    </w:p>
    <w:p w14:paraId="10156BFF" w14:textId="77777777" w:rsidR="00ED6F82" w:rsidRPr="00E32414" w:rsidRDefault="00ED6F82" w:rsidP="00ED6F82">
      <w:pPr>
        <w:spacing w:after="0" w:line="276" w:lineRule="auto"/>
        <w:jc w:val="both"/>
        <w:rPr>
          <w:rFonts w:ascii="Arial" w:hAnsi="Arial" w:cs="Arial"/>
          <w:color w:val="222222"/>
          <w:sz w:val="24"/>
          <w:szCs w:val="24"/>
          <w:shd w:val="clear" w:color="auto" w:fill="FFFFFF"/>
        </w:rPr>
      </w:pPr>
    </w:p>
    <w:p w14:paraId="01D691C5" w14:textId="647B4304" w:rsidR="00ED6F82" w:rsidRPr="00E32414" w:rsidRDefault="00ED6F82" w:rsidP="00ED6F82">
      <w:pPr>
        <w:spacing w:after="0" w:line="276" w:lineRule="auto"/>
        <w:jc w:val="both"/>
        <w:rPr>
          <w:rFonts w:ascii="Arial" w:hAnsi="Arial" w:cs="Arial"/>
          <w:color w:val="222222"/>
          <w:sz w:val="24"/>
          <w:szCs w:val="24"/>
          <w:shd w:val="clear" w:color="auto" w:fill="FFFFFF"/>
        </w:rPr>
      </w:pPr>
      <w:r w:rsidRPr="00E32414">
        <w:rPr>
          <w:rFonts w:ascii="Arial" w:hAnsi="Arial" w:cs="Arial"/>
          <w:color w:val="222222"/>
          <w:sz w:val="24"/>
          <w:szCs w:val="24"/>
          <w:shd w:val="clear" w:color="auto" w:fill="FFFFFF"/>
        </w:rPr>
        <w:t xml:space="preserve">Bennett, M. (2020). ¿Debo hacer lo que me dicen? Confianza, Expertos y COVID-19. Revista del Instituto Kennedy de Ética 30 (3), 243-263. </w:t>
      </w:r>
      <w:hyperlink r:id="rId4" w:history="1">
        <w:r w:rsidRPr="00E32414">
          <w:rPr>
            <w:rStyle w:val="Hipervnculo"/>
            <w:rFonts w:ascii="Arial" w:hAnsi="Arial" w:cs="Arial"/>
            <w:sz w:val="24"/>
            <w:szCs w:val="24"/>
            <w:shd w:val="clear" w:color="auto" w:fill="FFFFFF"/>
          </w:rPr>
          <w:t>https://muse.jhu.edu/article/773104</w:t>
        </w:r>
      </w:hyperlink>
    </w:p>
    <w:p w14:paraId="592DECDC" w14:textId="7FB86DB4" w:rsidR="00ED6F82" w:rsidRPr="00E32414" w:rsidRDefault="00ED6F82" w:rsidP="00ED6F82">
      <w:pPr>
        <w:spacing w:after="0" w:line="276" w:lineRule="auto"/>
        <w:jc w:val="both"/>
        <w:rPr>
          <w:rFonts w:ascii="Arial" w:hAnsi="Arial" w:cs="Arial"/>
          <w:color w:val="222222"/>
          <w:sz w:val="24"/>
          <w:szCs w:val="24"/>
          <w:shd w:val="clear" w:color="auto" w:fill="FFFFFF"/>
        </w:rPr>
      </w:pPr>
    </w:p>
    <w:p w14:paraId="61557CA3" w14:textId="77777777" w:rsidR="00ED6F82" w:rsidRPr="00E32414" w:rsidRDefault="00ED6F82" w:rsidP="00ED6F82">
      <w:pPr>
        <w:spacing w:after="0" w:line="276" w:lineRule="auto"/>
        <w:jc w:val="both"/>
        <w:rPr>
          <w:rFonts w:ascii="Arial" w:hAnsi="Arial" w:cs="Arial"/>
          <w:color w:val="222222"/>
          <w:sz w:val="24"/>
          <w:szCs w:val="24"/>
          <w:shd w:val="clear" w:color="auto" w:fill="FFFFFF"/>
        </w:rPr>
      </w:pPr>
    </w:p>
    <w:p w14:paraId="1A497315" w14:textId="7A11E378" w:rsidR="00ED6F82" w:rsidRPr="00E32414" w:rsidRDefault="00ED6F82" w:rsidP="00ED6F82">
      <w:pPr>
        <w:rPr>
          <w:rFonts w:ascii="Arial" w:hAnsi="Arial" w:cs="Arial"/>
          <w:sz w:val="24"/>
          <w:szCs w:val="24"/>
        </w:rPr>
      </w:pPr>
    </w:p>
    <w:sectPr w:rsidR="00ED6F82" w:rsidRPr="00E324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82"/>
    <w:rsid w:val="00331F1A"/>
    <w:rsid w:val="00E32414"/>
    <w:rsid w:val="00ED6F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5079"/>
  <w15:chartTrackingRefBased/>
  <w15:docId w15:val="{59A8E5D5-9022-4041-89EA-E79AE852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ED6F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6F82"/>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ED6F82"/>
    <w:rPr>
      <w:color w:val="0563C1" w:themeColor="hyperlink"/>
      <w:u w:val="single"/>
    </w:rPr>
  </w:style>
  <w:style w:type="character" w:styleId="Mencinsinresolver">
    <w:name w:val="Unresolved Mention"/>
    <w:basedOn w:val="Fuentedeprrafopredeter"/>
    <w:uiPriority w:val="99"/>
    <w:semiHidden/>
    <w:unhideWhenUsed/>
    <w:rsid w:val="00ED6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659693">
      <w:bodyDiv w:val="1"/>
      <w:marLeft w:val="0"/>
      <w:marRight w:val="0"/>
      <w:marTop w:val="0"/>
      <w:marBottom w:val="0"/>
      <w:divBdr>
        <w:top w:val="none" w:sz="0" w:space="0" w:color="auto"/>
        <w:left w:val="none" w:sz="0" w:space="0" w:color="auto"/>
        <w:bottom w:val="none" w:sz="0" w:space="0" w:color="auto"/>
        <w:right w:val="none" w:sz="0" w:space="0" w:color="auto"/>
      </w:divBdr>
    </w:div>
    <w:div w:id="969480423">
      <w:bodyDiv w:val="1"/>
      <w:marLeft w:val="0"/>
      <w:marRight w:val="0"/>
      <w:marTop w:val="0"/>
      <w:marBottom w:val="0"/>
      <w:divBdr>
        <w:top w:val="none" w:sz="0" w:space="0" w:color="auto"/>
        <w:left w:val="none" w:sz="0" w:space="0" w:color="auto"/>
        <w:bottom w:val="none" w:sz="0" w:space="0" w:color="auto"/>
        <w:right w:val="none" w:sz="0" w:space="0" w:color="auto"/>
      </w:divBdr>
      <w:divsChild>
        <w:div w:id="1850565063">
          <w:marLeft w:val="0"/>
          <w:marRight w:val="0"/>
          <w:marTop w:val="0"/>
          <w:marBottom w:val="480"/>
          <w:divBdr>
            <w:top w:val="none" w:sz="0" w:space="0" w:color="auto"/>
            <w:left w:val="none" w:sz="0" w:space="0" w:color="auto"/>
            <w:bottom w:val="none" w:sz="0" w:space="0" w:color="auto"/>
            <w:right w:val="none" w:sz="0" w:space="0" w:color="auto"/>
          </w:divBdr>
        </w:div>
      </w:divsChild>
    </w:div>
    <w:div w:id="19493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use.jhu.edu/article/7731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195</Words>
  <Characters>1073</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2021-02-01T14:03:00Z</dcterms:created>
  <dcterms:modified xsi:type="dcterms:W3CDTF">2021-02-01T14:57:00Z</dcterms:modified>
</cp:coreProperties>
</file>