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62F62" w14:textId="2430A1B7" w:rsidR="00740C81" w:rsidRPr="00CE29A3" w:rsidRDefault="00740C81" w:rsidP="00CE29A3">
      <w:pPr>
        <w:jc w:val="both"/>
        <w:rPr>
          <w:rFonts w:ascii="Arial" w:hAnsi="Arial" w:cs="Arial"/>
          <w:i/>
          <w:sz w:val="24"/>
          <w:szCs w:val="24"/>
        </w:rPr>
      </w:pPr>
      <w:r w:rsidRPr="00CE29A3">
        <w:rPr>
          <w:rFonts w:ascii="Arial" w:hAnsi="Arial" w:cs="Arial"/>
          <w:i/>
          <w:sz w:val="24"/>
          <w:szCs w:val="24"/>
        </w:rPr>
        <w:t xml:space="preserve">Recomendamos este artículo </w:t>
      </w:r>
      <w:r w:rsidR="00AD31B1" w:rsidRPr="00CE29A3">
        <w:rPr>
          <w:rFonts w:ascii="Arial" w:hAnsi="Arial" w:cs="Arial"/>
          <w:i/>
          <w:sz w:val="24"/>
          <w:szCs w:val="24"/>
        </w:rPr>
        <w:t xml:space="preserve">por ser uno de los pocos trabajos que elaboran el muy importante tema de la ética del uso de robots ambientales. </w:t>
      </w:r>
    </w:p>
    <w:p w14:paraId="78B8BF7F" w14:textId="77777777" w:rsidR="00AD31B1" w:rsidRPr="00CE29A3" w:rsidRDefault="00AD31B1" w:rsidP="00CE29A3">
      <w:pPr>
        <w:jc w:val="both"/>
        <w:rPr>
          <w:rFonts w:ascii="Arial" w:hAnsi="Arial" w:cs="Arial"/>
          <w:i/>
          <w:sz w:val="24"/>
          <w:szCs w:val="24"/>
        </w:rPr>
      </w:pPr>
    </w:p>
    <w:p w14:paraId="463A47AC" w14:textId="613EBFEF" w:rsidR="00972363" w:rsidRPr="00CE29A3" w:rsidRDefault="00972363" w:rsidP="00CE29A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E29A3">
        <w:rPr>
          <w:rFonts w:ascii="Arial" w:hAnsi="Arial" w:cs="Arial"/>
          <w:b/>
          <w:bCs/>
          <w:sz w:val="24"/>
          <w:szCs w:val="24"/>
        </w:rPr>
        <w:t>El amanecer de la ética de los robots ambientales</w:t>
      </w:r>
    </w:p>
    <w:p w14:paraId="6B304DC4" w14:textId="4EC03336" w:rsidR="00972363" w:rsidRPr="00CE29A3" w:rsidRDefault="00972363" w:rsidP="00CE29A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E29A3">
        <w:rPr>
          <w:rFonts w:ascii="Arial" w:hAnsi="Arial" w:cs="Arial"/>
          <w:sz w:val="24"/>
          <w:szCs w:val="24"/>
        </w:rPr>
        <w:t>Aimee</w:t>
      </w:r>
      <w:proofErr w:type="spellEnd"/>
      <w:r w:rsidRPr="00CE29A3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Pr="00CE29A3">
        <w:rPr>
          <w:rFonts w:ascii="Arial" w:hAnsi="Arial" w:cs="Arial"/>
          <w:sz w:val="24"/>
          <w:szCs w:val="24"/>
        </w:rPr>
        <w:t>Wynsberghe</w:t>
      </w:r>
      <w:proofErr w:type="spellEnd"/>
      <w:r w:rsidRPr="00CE29A3">
        <w:rPr>
          <w:rFonts w:ascii="Arial" w:hAnsi="Arial" w:cs="Arial"/>
          <w:sz w:val="24"/>
          <w:szCs w:val="24"/>
        </w:rPr>
        <w:t xml:space="preserve">, Justin </w:t>
      </w:r>
      <w:proofErr w:type="spellStart"/>
      <w:r w:rsidRPr="00CE29A3">
        <w:rPr>
          <w:rFonts w:ascii="Arial" w:hAnsi="Arial" w:cs="Arial"/>
          <w:sz w:val="24"/>
          <w:szCs w:val="24"/>
        </w:rPr>
        <w:t>Donhauser</w:t>
      </w:r>
      <w:proofErr w:type="spellEnd"/>
    </w:p>
    <w:p w14:paraId="53C36A55" w14:textId="4948E742" w:rsidR="00972363" w:rsidRPr="00CE29A3" w:rsidRDefault="00972363" w:rsidP="00CE29A3">
      <w:pPr>
        <w:jc w:val="both"/>
        <w:rPr>
          <w:rFonts w:ascii="Arial" w:hAnsi="Arial" w:cs="Arial"/>
          <w:sz w:val="24"/>
          <w:szCs w:val="24"/>
        </w:rPr>
      </w:pPr>
      <w:r w:rsidRPr="00CE29A3">
        <w:rPr>
          <w:rFonts w:ascii="Arial" w:hAnsi="Arial" w:cs="Arial"/>
          <w:sz w:val="24"/>
          <w:szCs w:val="24"/>
        </w:rPr>
        <w:t>23 de octubre de 2017</w:t>
      </w:r>
    </w:p>
    <w:p w14:paraId="585C2328" w14:textId="61BD95E3" w:rsidR="00972363" w:rsidRPr="00CE29A3" w:rsidRDefault="00972363" w:rsidP="00CE29A3">
      <w:pPr>
        <w:jc w:val="both"/>
        <w:rPr>
          <w:rFonts w:ascii="Arial" w:hAnsi="Arial" w:cs="Arial"/>
          <w:sz w:val="24"/>
          <w:szCs w:val="24"/>
        </w:rPr>
      </w:pPr>
    </w:p>
    <w:p w14:paraId="790FB141" w14:textId="7FC4F8E0" w:rsidR="00972363" w:rsidRPr="00CE29A3" w:rsidRDefault="00972363" w:rsidP="00CE29A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E29A3">
        <w:rPr>
          <w:rFonts w:ascii="Arial" w:hAnsi="Arial" w:cs="Arial"/>
          <w:sz w:val="24"/>
          <w:szCs w:val="24"/>
        </w:rPr>
        <w:t>Abstract</w:t>
      </w:r>
      <w:proofErr w:type="spellEnd"/>
      <w:r w:rsidRPr="00CE29A3">
        <w:rPr>
          <w:rFonts w:ascii="Arial" w:hAnsi="Arial" w:cs="Arial"/>
          <w:sz w:val="24"/>
          <w:szCs w:val="24"/>
        </w:rPr>
        <w:t>:</w:t>
      </w:r>
    </w:p>
    <w:p w14:paraId="57E6CFDE" w14:textId="428CA96D" w:rsidR="00972363" w:rsidRPr="00CE29A3" w:rsidRDefault="00972363" w:rsidP="00CE29A3">
      <w:pPr>
        <w:jc w:val="both"/>
        <w:rPr>
          <w:rFonts w:ascii="Arial" w:hAnsi="Arial" w:cs="Arial"/>
          <w:sz w:val="24"/>
          <w:szCs w:val="24"/>
        </w:rPr>
      </w:pPr>
      <w:r w:rsidRPr="00CE29A3">
        <w:rPr>
          <w:rFonts w:ascii="Arial" w:hAnsi="Arial" w:cs="Arial"/>
          <w:sz w:val="24"/>
          <w:szCs w:val="24"/>
        </w:rPr>
        <w:t>Los científicos e ingenieros ambientales han estado explorando las aplicaciones de investigación y monitoreo de la robótica, así como también han explorado formas de integrar la robótica en los ecosistemas para ayudar en las respuestas a los cambios ambientales, climáticos y de biodiversidad acelerados. Estas aplicaciones emergentes de robots y otras tecnologías autónomas presentan nuevos desafíos éticos y prácticos. Sin embargo, las aplicaciones críticas de los robots para la investigación, la ingeniería, la protección y la remediación ambientales no han recibido casi ninguna atención en la literatura sobre ética de la robótica hasta la fecha. Este trabajo busca llenar ese vacío y promover el estudio de la robótica ambiental. Proporciona recursos clave para un examen crítico adicional de los problemas que presentan los robots ambientales al explicar y diferenciar los tipos de robótica ambiental que existen hasta la fecha e identificar los problemas conceptuales, éticos y prácticos únicos que presentan.</w:t>
      </w:r>
    </w:p>
    <w:p w14:paraId="294CA4C6" w14:textId="7C5A022A" w:rsidR="00972363" w:rsidRPr="00CE29A3" w:rsidRDefault="00972363" w:rsidP="00CE29A3">
      <w:pPr>
        <w:jc w:val="both"/>
        <w:rPr>
          <w:rFonts w:ascii="Arial" w:hAnsi="Arial" w:cs="Arial"/>
          <w:sz w:val="24"/>
          <w:szCs w:val="24"/>
        </w:rPr>
      </w:pPr>
    </w:p>
    <w:p w14:paraId="2411F4FA" w14:textId="09BD49FD" w:rsidR="00972363" w:rsidRPr="00CE29A3" w:rsidRDefault="00972363" w:rsidP="00CE29A3">
      <w:pPr>
        <w:jc w:val="both"/>
        <w:rPr>
          <w:rFonts w:ascii="Arial" w:hAnsi="Arial" w:cs="Arial"/>
          <w:sz w:val="24"/>
          <w:szCs w:val="24"/>
        </w:rPr>
      </w:pPr>
      <w:r w:rsidRPr="00CE29A3">
        <w:rPr>
          <w:rFonts w:ascii="Arial" w:hAnsi="Arial" w:cs="Arial"/>
          <w:sz w:val="24"/>
          <w:szCs w:val="24"/>
        </w:rPr>
        <w:t>Referencia:</w:t>
      </w:r>
    </w:p>
    <w:p w14:paraId="7856EE28" w14:textId="77777777" w:rsidR="00740C81" w:rsidRPr="00CE29A3" w:rsidRDefault="00740C81" w:rsidP="00CE29A3">
      <w:pPr>
        <w:spacing w:after="0" w:line="480" w:lineRule="auto"/>
        <w:ind w:left="480" w:hanging="48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E29A3">
        <w:rPr>
          <w:rFonts w:ascii="Arial" w:eastAsia="Times New Roman" w:hAnsi="Arial" w:cs="Arial"/>
          <w:sz w:val="24"/>
          <w:szCs w:val="24"/>
          <w:lang w:val="es-CL" w:eastAsia="es-ES"/>
        </w:rPr>
        <w:t xml:space="preserve">van </w:t>
      </w:r>
      <w:proofErr w:type="spellStart"/>
      <w:r w:rsidRPr="00CE29A3">
        <w:rPr>
          <w:rFonts w:ascii="Arial" w:eastAsia="Times New Roman" w:hAnsi="Arial" w:cs="Arial"/>
          <w:sz w:val="24"/>
          <w:szCs w:val="24"/>
          <w:lang w:val="es-CL" w:eastAsia="es-ES"/>
        </w:rPr>
        <w:t>Wynsberghe</w:t>
      </w:r>
      <w:proofErr w:type="spellEnd"/>
      <w:r w:rsidRPr="00CE29A3">
        <w:rPr>
          <w:rFonts w:ascii="Arial" w:eastAsia="Times New Roman" w:hAnsi="Arial" w:cs="Arial"/>
          <w:sz w:val="24"/>
          <w:szCs w:val="24"/>
          <w:lang w:val="es-CL" w:eastAsia="es-ES"/>
        </w:rPr>
        <w:t xml:space="preserve">, A., &amp; </w:t>
      </w:r>
      <w:proofErr w:type="spellStart"/>
      <w:r w:rsidRPr="00CE29A3">
        <w:rPr>
          <w:rFonts w:ascii="Arial" w:eastAsia="Times New Roman" w:hAnsi="Arial" w:cs="Arial"/>
          <w:sz w:val="24"/>
          <w:szCs w:val="24"/>
          <w:lang w:val="es-CL" w:eastAsia="es-ES"/>
        </w:rPr>
        <w:t>Donhauser</w:t>
      </w:r>
      <w:proofErr w:type="spellEnd"/>
      <w:r w:rsidRPr="00CE29A3">
        <w:rPr>
          <w:rFonts w:ascii="Arial" w:eastAsia="Times New Roman" w:hAnsi="Arial" w:cs="Arial"/>
          <w:sz w:val="24"/>
          <w:szCs w:val="24"/>
          <w:lang w:val="es-CL" w:eastAsia="es-ES"/>
        </w:rPr>
        <w:t xml:space="preserve">, J. (2018). </w:t>
      </w:r>
      <w:r w:rsidRPr="00CE29A3">
        <w:rPr>
          <w:rFonts w:ascii="Arial" w:eastAsia="Times New Roman" w:hAnsi="Arial" w:cs="Arial"/>
          <w:sz w:val="24"/>
          <w:szCs w:val="24"/>
          <w:lang w:val="en-US" w:eastAsia="es-ES"/>
        </w:rPr>
        <w:t xml:space="preserve">The Dawning of the Ethics of Environmental Robots. </w:t>
      </w:r>
      <w:proofErr w:type="spellStart"/>
      <w:r w:rsidRPr="00CE29A3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Science</w:t>
      </w:r>
      <w:proofErr w:type="spellEnd"/>
      <w:r w:rsidRPr="00CE29A3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and </w:t>
      </w:r>
      <w:proofErr w:type="spellStart"/>
      <w:r w:rsidRPr="00CE29A3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Engineering</w:t>
      </w:r>
      <w:proofErr w:type="spellEnd"/>
      <w:r w:rsidRPr="00CE29A3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Pr="00CE29A3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Ethics</w:t>
      </w:r>
      <w:proofErr w:type="spellEnd"/>
      <w:r w:rsidRPr="00CE29A3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CE29A3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24</w:t>
      </w:r>
      <w:r w:rsidRPr="00CE29A3">
        <w:rPr>
          <w:rFonts w:ascii="Arial" w:eastAsia="Times New Roman" w:hAnsi="Arial" w:cs="Arial"/>
          <w:sz w:val="24"/>
          <w:szCs w:val="24"/>
          <w:lang w:eastAsia="es-ES"/>
        </w:rPr>
        <w:t xml:space="preserve">(6), 1777-1800. </w:t>
      </w:r>
      <w:hyperlink r:id="rId4" w:history="1">
        <w:r w:rsidRPr="00CE29A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ES"/>
          </w:rPr>
          <w:t>https://doi.org/10.1007/s11948-017-9990-3</w:t>
        </w:r>
      </w:hyperlink>
    </w:p>
    <w:p w14:paraId="3DCC33D8" w14:textId="77777777" w:rsidR="00740C81" w:rsidRPr="00CE29A3" w:rsidRDefault="00740C81" w:rsidP="00CE29A3">
      <w:pPr>
        <w:jc w:val="both"/>
        <w:rPr>
          <w:rFonts w:ascii="Arial" w:hAnsi="Arial" w:cs="Arial"/>
        </w:rPr>
      </w:pPr>
    </w:p>
    <w:p w14:paraId="03D41507" w14:textId="77777777" w:rsidR="00972363" w:rsidRPr="00CE29A3" w:rsidRDefault="00972363" w:rsidP="00CE29A3">
      <w:pPr>
        <w:jc w:val="both"/>
        <w:rPr>
          <w:rFonts w:ascii="Arial" w:hAnsi="Arial" w:cs="Arial"/>
        </w:rPr>
      </w:pPr>
    </w:p>
    <w:sectPr w:rsidR="00972363" w:rsidRPr="00CE2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63"/>
    <w:rsid w:val="00126A2B"/>
    <w:rsid w:val="00740C81"/>
    <w:rsid w:val="00972363"/>
    <w:rsid w:val="00AD31B1"/>
    <w:rsid w:val="00C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9DD5"/>
  <w15:chartTrackingRefBased/>
  <w15:docId w15:val="{E7D8AE3A-E04C-47AB-8133-ED9F85CA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40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0154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7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07/s11948-017-9990-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Vidak</dc:creator>
  <cp:keywords/>
  <dc:description/>
  <cp:lastModifiedBy>Mariela Cabello</cp:lastModifiedBy>
  <cp:revision>3</cp:revision>
  <dcterms:created xsi:type="dcterms:W3CDTF">2020-11-10T12:17:00Z</dcterms:created>
  <dcterms:modified xsi:type="dcterms:W3CDTF">2020-11-10T14:42:00Z</dcterms:modified>
</cp:coreProperties>
</file>