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68B48" w14:textId="56465B66" w:rsidR="00084D7B" w:rsidRPr="005213CE" w:rsidRDefault="00084D7B" w:rsidP="00084D7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5213CE">
        <w:rPr>
          <w:rFonts w:ascii="Arial" w:hAnsi="Arial" w:cs="Arial"/>
          <w:i/>
          <w:iCs/>
          <w:sz w:val="24"/>
          <w:szCs w:val="24"/>
        </w:rPr>
        <w:t xml:space="preserve">Recomendamos este artículo de </w:t>
      </w:r>
      <w:proofErr w:type="spellStart"/>
      <w:r w:rsidRPr="005213CE">
        <w:rPr>
          <w:rFonts w:ascii="Arial" w:hAnsi="Arial" w:cs="Arial"/>
          <w:i/>
          <w:iCs/>
          <w:sz w:val="24"/>
          <w:szCs w:val="24"/>
        </w:rPr>
        <w:t>Gilber</w:t>
      </w:r>
      <w:proofErr w:type="spellEnd"/>
      <w:r w:rsidRPr="005213C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13CE">
        <w:rPr>
          <w:rFonts w:ascii="Arial" w:hAnsi="Arial" w:cs="Arial"/>
          <w:i/>
          <w:iCs/>
          <w:sz w:val="24"/>
          <w:szCs w:val="24"/>
        </w:rPr>
        <w:t>Meilaender</w:t>
      </w:r>
      <w:proofErr w:type="spellEnd"/>
      <w:r w:rsidRPr="005213CE">
        <w:rPr>
          <w:rFonts w:ascii="Arial" w:hAnsi="Arial" w:cs="Arial"/>
          <w:i/>
          <w:iCs/>
          <w:sz w:val="24"/>
          <w:szCs w:val="24"/>
        </w:rPr>
        <w:t xml:space="preserve"> por exponer las peculiaridades éticas de una de las alternativas a la eutanasia para tratar el sufrimiento al final de la vida: la sedación paliativa, que consiste en utilizar deliberadamente fármacos para disminuir la conciencia de una persona en estado terminal. </w:t>
      </w:r>
    </w:p>
    <w:p w14:paraId="642D2ED2" w14:textId="77777777" w:rsidR="00084D7B" w:rsidRPr="005213CE" w:rsidRDefault="00084D7B" w:rsidP="00084D7B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78C9C92" w14:textId="2988CCD3" w:rsidR="00090CB7" w:rsidRPr="005213CE" w:rsidRDefault="00090CB7" w:rsidP="00084D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13CE">
        <w:rPr>
          <w:rFonts w:ascii="Arial" w:hAnsi="Arial" w:cs="Arial"/>
          <w:b/>
          <w:bCs/>
          <w:sz w:val="24"/>
          <w:szCs w:val="24"/>
        </w:rPr>
        <w:t>Confortar cuando no podemos curar: la ética de la sedación paliativa</w:t>
      </w:r>
    </w:p>
    <w:p w14:paraId="5C226688" w14:textId="194048B7" w:rsidR="00090CB7" w:rsidRPr="005213CE" w:rsidRDefault="00090CB7" w:rsidP="00084D7B">
      <w:pPr>
        <w:jc w:val="both"/>
        <w:rPr>
          <w:rFonts w:ascii="Arial" w:hAnsi="Arial" w:cs="Arial"/>
          <w:sz w:val="24"/>
          <w:szCs w:val="24"/>
        </w:rPr>
      </w:pPr>
      <w:r w:rsidRPr="005213CE">
        <w:rPr>
          <w:rFonts w:ascii="Arial" w:hAnsi="Arial" w:cs="Arial"/>
          <w:sz w:val="24"/>
          <w:szCs w:val="24"/>
        </w:rPr>
        <w:t xml:space="preserve">Gilbert </w:t>
      </w:r>
      <w:proofErr w:type="spellStart"/>
      <w:r w:rsidRPr="005213CE">
        <w:rPr>
          <w:rFonts w:ascii="Arial" w:hAnsi="Arial" w:cs="Arial"/>
          <w:sz w:val="24"/>
          <w:szCs w:val="24"/>
        </w:rPr>
        <w:t>Meilaender</w:t>
      </w:r>
      <w:proofErr w:type="spellEnd"/>
    </w:p>
    <w:p w14:paraId="52325E22" w14:textId="64BAD528" w:rsidR="00090CB7" w:rsidRPr="005213CE" w:rsidRDefault="00090CB7" w:rsidP="00084D7B">
      <w:pPr>
        <w:tabs>
          <w:tab w:val="left" w:pos="2796"/>
        </w:tabs>
        <w:jc w:val="both"/>
        <w:rPr>
          <w:rFonts w:ascii="Arial" w:hAnsi="Arial" w:cs="Arial"/>
          <w:sz w:val="24"/>
          <w:szCs w:val="24"/>
        </w:rPr>
      </w:pPr>
      <w:r w:rsidRPr="005213CE">
        <w:rPr>
          <w:rFonts w:ascii="Arial" w:hAnsi="Arial" w:cs="Arial"/>
          <w:sz w:val="24"/>
          <w:szCs w:val="24"/>
        </w:rPr>
        <w:t>4 de agosto de 2018</w:t>
      </w:r>
      <w:r w:rsidR="00084D7B" w:rsidRPr="005213CE">
        <w:rPr>
          <w:rFonts w:ascii="Arial" w:hAnsi="Arial" w:cs="Arial"/>
          <w:sz w:val="24"/>
          <w:szCs w:val="24"/>
        </w:rPr>
        <w:tab/>
      </w:r>
    </w:p>
    <w:p w14:paraId="6E9044C2" w14:textId="2FAAAF87" w:rsidR="00084D7B" w:rsidRPr="005213CE" w:rsidRDefault="00084D7B" w:rsidP="00084D7B">
      <w:pPr>
        <w:tabs>
          <w:tab w:val="left" w:pos="2796"/>
        </w:tabs>
        <w:jc w:val="both"/>
        <w:rPr>
          <w:rFonts w:ascii="Arial" w:hAnsi="Arial" w:cs="Arial"/>
          <w:sz w:val="24"/>
          <w:szCs w:val="24"/>
        </w:rPr>
      </w:pPr>
    </w:p>
    <w:p w14:paraId="44969241" w14:textId="16BC2FAE" w:rsidR="00090CB7" w:rsidRPr="005213CE" w:rsidRDefault="00084D7B" w:rsidP="00084D7B">
      <w:pPr>
        <w:tabs>
          <w:tab w:val="left" w:pos="2796"/>
        </w:tabs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13CE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5213CE">
        <w:rPr>
          <w:rFonts w:ascii="Arial" w:hAnsi="Arial" w:cs="Arial"/>
          <w:b/>
          <w:bCs/>
          <w:sz w:val="24"/>
          <w:szCs w:val="24"/>
        </w:rPr>
        <w:t>:</w:t>
      </w:r>
    </w:p>
    <w:p w14:paraId="6632B4D7" w14:textId="1C5FD80B" w:rsidR="00090CB7" w:rsidRPr="005213CE" w:rsidRDefault="00090CB7" w:rsidP="00084D7B">
      <w:pPr>
        <w:jc w:val="both"/>
        <w:rPr>
          <w:rFonts w:ascii="Arial" w:hAnsi="Arial" w:cs="Arial"/>
          <w:sz w:val="24"/>
          <w:szCs w:val="24"/>
        </w:rPr>
      </w:pPr>
      <w:r w:rsidRPr="005213CE">
        <w:rPr>
          <w:rFonts w:ascii="Arial" w:hAnsi="Arial" w:cs="Arial"/>
          <w:sz w:val="24"/>
          <w:szCs w:val="24"/>
        </w:rPr>
        <w:t>Este ensayo considera si la sedación paliativa es o no atención médica apropiada. Esto requiere que uno considere (a) si, además del bienestar de la salud, el alivio del sufrimiento es también un fin apropiado de la medicina; (b) si la inconsciencia puede ser alguna vez un bien para un ser humano; y (c) cómo el razonamiento de doble efecto puede ayudarnos a pensar en casos difíciles. El autor concluye que la sedación paliativa puede ser una atención médica adecuada en una gama limitada de casos.</w:t>
      </w:r>
    </w:p>
    <w:p w14:paraId="23EFCF73" w14:textId="41F6441F" w:rsidR="00090CB7" w:rsidRPr="005213CE" w:rsidRDefault="00090CB7" w:rsidP="00084D7B">
      <w:pPr>
        <w:jc w:val="both"/>
        <w:rPr>
          <w:rFonts w:ascii="Arial" w:hAnsi="Arial" w:cs="Arial"/>
          <w:sz w:val="24"/>
          <w:szCs w:val="24"/>
        </w:rPr>
      </w:pPr>
    </w:p>
    <w:p w14:paraId="1FA02ED5" w14:textId="72B237AC" w:rsidR="00090CB7" w:rsidRPr="005213CE" w:rsidRDefault="00090CB7" w:rsidP="00084D7B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5213CE">
        <w:rPr>
          <w:rFonts w:ascii="Arial" w:hAnsi="Arial" w:cs="Arial"/>
          <w:b/>
          <w:bCs/>
          <w:sz w:val="24"/>
          <w:szCs w:val="24"/>
          <w:lang w:val="en-US"/>
        </w:rPr>
        <w:t>Referencia</w:t>
      </w:r>
      <w:proofErr w:type="spellEnd"/>
      <w:r w:rsidRPr="005213CE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64A2F550" w14:textId="77777777" w:rsidR="00090CB7" w:rsidRPr="005213CE" w:rsidRDefault="00090CB7" w:rsidP="00084D7B">
      <w:pPr>
        <w:spacing w:after="0" w:line="48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5213CE">
        <w:rPr>
          <w:rFonts w:ascii="Arial" w:eastAsia="Times New Roman" w:hAnsi="Arial" w:cs="Arial"/>
          <w:sz w:val="24"/>
          <w:szCs w:val="24"/>
          <w:lang w:val="en-US" w:eastAsia="es-ES"/>
        </w:rPr>
        <w:t>Meilaender</w:t>
      </w:r>
      <w:proofErr w:type="spellEnd"/>
      <w:r w:rsidRPr="005213CE">
        <w:rPr>
          <w:rFonts w:ascii="Arial" w:eastAsia="Times New Roman" w:hAnsi="Arial" w:cs="Arial"/>
          <w:sz w:val="24"/>
          <w:szCs w:val="24"/>
          <w:lang w:val="en-US" w:eastAsia="es-ES"/>
        </w:rPr>
        <w:t xml:space="preserve">, G. (2018). Comforting when we cannot heal: The ethics of palliative sedation. </w:t>
      </w:r>
      <w:proofErr w:type="spellStart"/>
      <w:r w:rsidRPr="005213C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Theoretical</w:t>
      </w:r>
      <w:proofErr w:type="spellEnd"/>
      <w:r w:rsidRPr="005213C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Medicine and </w:t>
      </w:r>
      <w:proofErr w:type="spellStart"/>
      <w:r w:rsidRPr="005213C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Bioethics</w:t>
      </w:r>
      <w:proofErr w:type="spellEnd"/>
      <w:r w:rsidRPr="005213C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213C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39</w:t>
      </w:r>
      <w:r w:rsidRPr="005213CE">
        <w:rPr>
          <w:rFonts w:ascii="Arial" w:eastAsia="Times New Roman" w:hAnsi="Arial" w:cs="Arial"/>
          <w:sz w:val="24"/>
          <w:szCs w:val="24"/>
          <w:lang w:eastAsia="es-ES"/>
        </w:rPr>
        <w:t xml:space="preserve">(3), 211-220. </w:t>
      </w:r>
      <w:hyperlink r:id="rId4" w:history="1">
        <w:r w:rsidRPr="005213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https://doi.org/10.1007/s11017-018-9445-0</w:t>
        </w:r>
      </w:hyperlink>
    </w:p>
    <w:p w14:paraId="3A0EBE47" w14:textId="77777777" w:rsidR="00090CB7" w:rsidRPr="005213CE" w:rsidRDefault="00090CB7" w:rsidP="00090CB7">
      <w:pPr>
        <w:rPr>
          <w:rFonts w:ascii="Arial" w:hAnsi="Arial" w:cs="Arial"/>
          <w:sz w:val="24"/>
          <w:szCs w:val="24"/>
        </w:rPr>
      </w:pPr>
    </w:p>
    <w:sectPr w:rsidR="00090CB7" w:rsidRPr="00521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B7"/>
    <w:rsid w:val="00084D7B"/>
    <w:rsid w:val="00090CB7"/>
    <w:rsid w:val="004B28BE"/>
    <w:rsid w:val="005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7BBF"/>
  <w15:chartTrackingRefBased/>
  <w15:docId w15:val="{049ACAA6-DADE-4DE5-ABFA-F7FB41B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700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1017-018-9445-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Mariela Cabello</cp:lastModifiedBy>
  <cp:revision>3</cp:revision>
  <dcterms:created xsi:type="dcterms:W3CDTF">2020-09-07T13:19:00Z</dcterms:created>
  <dcterms:modified xsi:type="dcterms:W3CDTF">2020-09-07T15:38:00Z</dcterms:modified>
</cp:coreProperties>
</file>